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CD" w:rsidRDefault="006F49CD">
      <w:pPr>
        <w:ind w:left="7799" w:firstLine="709"/>
        <w:rPr>
          <w:rFonts w:cs="Times New Roman"/>
          <w:b/>
          <w:noProof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Pr="006F49CD" w:rsidRDefault="00DE2415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>на скважине № 1 Восточно-Песчаного Лицензионного участка в 2026 году</w:t>
      </w:r>
      <w:r w:rsidR="00B4671D" w:rsidRPr="00DE2415" w:rsidDel="00B4671D">
        <w:rPr>
          <w:rFonts w:eastAsia="Times New Roman" w:cs="Times New Roman"/>
          <w:b/>
        </w:rPr>
        <w:t xml:space="preserve"> 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p w:rsidR="00DB4229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3667593" w:history="1">
            <w:r w:rsidR="00DB4229" w:rsidRPr="00A17F89">
              <w:rPr>
                <w:rStyle w:val="ab"/>
                <w:noProof/>
              </w:rPr>
              <w:t>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Основные проектные данные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4" w:history="1">
            <w:r w:rsidR="00DB4229" w:rsidRPr="00A17F89">
              <w:rPr>
                <w:rStyle w:val="ab"/>
                <w:noProof/>
              </w:rPr>
              <w:t>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Конструкция скважины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5" w:history="1">
            <w:r w:rsidR="00DB4229" w:rsidRPr="00A17F89">
              <w:rPr>
                <w:rStyle w:val="ab"/>
                <w:rFonts w:cs="Times New Roman"/>
                <w:noProof/>
              </w:rPr>
              <w:t>3.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Геологическая информация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6" w:history="1">
            <w:r w:rsidR="00DB4229" w:rsidRPr="00A17F89">
              <w:rPr>
                <w:rStyle w:val="ab"/>
                <w:noProof/>
              </w:rPr>
              <w:t>4.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Буровые растворы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7" w:history="1">
            <w:r w:rsidR="00DB4229" w:rsidRPr="00A17F89">
              <w:rPr>
                <w:rStyle w:val="ab"/>
                <w:rFonts w:cs="Times New Roman"/>
                <w:noProof/>
              </w:rPr>
              <w:t xml:space="preserve">5. </w:t>
            </w:r>
            <w:r w:rsidR="00DB4229" w:rsidRPr="00A17F89">
              <w:rPr>
                <w:rStyle w:val="ab"/>
                <w:noProof/>
              </w:rPr>
              <w:t>Объем и состав услуг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8" w:history="1">
            <w:r w:rsidR="00DB4229" w:rsidRPr="00A17F89">
              <w:rPr>
                <w:rStyle w:val="ab"/>
                <w:noProof/>
              </w:rPr>
              <w:t>5.1 Инженерно-технологическое сопровождение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599" w:history="1">
            <w:r w:rsidR="00DB4229" w:rsidRPr="00A17F89">
              <w:rPr>
                <w:rStyle w:val="ab"/>
                <w:noProof/>
              </w:rPr>
              <w:t>5.2 Оборудование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_Toc213667599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0" w:history="1">
            <w:r w:rsidR="00DB4229" w:rsidRPr="00A17F89">
              <w:rPr>
                <w:rStyle w:val="ab"/>
                <w:noProof/>
              </w:rPr>
              <w:t>6. Требование к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1" w:history="1">
            <w:r w:rsidR="00DB4229" w:rsidRPr="00A17F89">
              <w:rPr>
                <w:rStyle w:val="ab"/>
                <w:noProof/>
              </w:rPr>
              <w:t>6.1. Технические требования к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2" w:history="1">
            <w:r w:rsidR="00DB4229" w:rsidRPr="00A17F89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10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3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12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4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6.1.3. Стингер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5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6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7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8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09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_Toc213667609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0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18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1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18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2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3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19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4" w:history="1">
            <w:r w:rsidR="00DB4229" w:rsidRPr="00A17F89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21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5" w:history="1">
            <w:r w:rsidR="00DB4229" w:rsidRPr="00A17F89">
              <w:rPr>
                <w:rStyle w:val="ab"/>
                <w:noProof/>
              </w:rPr>
              <w:t>6.2. Требование к паспортам на оборудование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21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6" w:history="1">
            <w:r w:rsidR="00DB4229" w:rsidRPr="00A17F89">
              <w:rPr>
                <w:rStyle w:val="ab"/>
                <w:noProof/>
              </w:rPr>
              <w:t>6.3. Требование к проведению испытаний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23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7" w:history="1">
            <w:r w:rsidR="00DB4229" w:rsidRPr="00A17F89">
              <w:rPr>
                <w:rStyle w:val="ab"/>
                <w:noProof/>
              </w:rPr>
              <w:t>7. Персонал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23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8" w:history="1">
            <w:r w:rsidR="00DB4229" w:rsidRPr="00A17F89">
              <w:rPr>
                <w:rStyle w:val="ab"/>
                <w:noProof/>
              </w:rPr>
              <w:t>7.1.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_Toc213667618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19" w:history="1">
            <w:r w:rsidR="00DB4229" w:rsidRPr="00A17F89">
              <w:rPr>
                <w:rStyle w:val="ab"/>
                <w:noProof/>
              </w:rPr>
              <w:t>7.2.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Координатор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_Toc213667619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24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0" w:history="1">
            <w:r w:rsidR="00DB4229" w:rsidRPr="00A17F89">
              <w:rPr>
                <w:rStyle w:val="ab"/>
                <w:noProof/>
              </w:rPr>
              <w:t>8.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материалам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_Toc213667620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1" w:history="1">
            <w:r w:rsidR="00DB4229" w:rsidRPr="00A17F89">
              <w:rPr>
                <w:rStyle w:val="ab"/>
                <w:noProof/>
              </w:rPr>
              <w:t>9.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Проживание и перевозка (смена) персонала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_Toc213667621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2" w:history="1">
            <w:r w:rsidR="00DB4229" w:rsidRPr="00A17F89">
              <w:rPr>
                <w:rStyle w:val="ab"/>
                <w:noProof/>
              </w:rPr>
              <w:t>10.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_Toc213667622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3" w:history="1">
            <w:r w:rsidR="00DB4229" w:rsidRPr="00A17F89">
              <w:rPr>
                <w:rStyle w:val="ab"/>
                <w:noProof/>
              </w:rPr>
              <w:t>11.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Страхование персонала Исполнителя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_Toc213667623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4" w:history="1">
            <w:r w:rsidR="00DB4229" w:rsidRPr="00A17F89">
              <w:rPr>
                <w:rStyle w:val="ab"/>
                <w:noProof/>
              </w:rPr>
              <w:t>12.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гарантии на оказанные услуги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_Toc213667624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25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5" w:history="1">
            <w:r w:rsidR="00DB4229" w:rsidRPr="00A17F89">
              <w:rPr>
                <w:rStyle w:val="ab"/>
                <w:noProof/>
              </w:rPr>
              <w:t>13.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_Toc213667625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6" w:history="1">
            <w:r w:rsidR="00DB4229" w:rsidRPr="00A17F89">
              <w:rPr>
                <w:rStyle w:val="ab"/>
                <w:noProof/>
              </w:rPr>
              <w:t>14.</w:t>
            </w:r>
            <w:r w:rsidR="00DB4229">
              <w:rPr>
                <w:rFonts w:asciiTheme="minorHAnsi" w:hAnsiTheme="minorHAnsi"/>
                <w:noProof/>
                <w:sz w:val="22"/>
              </w:rPr>
              <w:tab/>
            </w:r>
            <w:r w:rsidR="00DB4229" w:rsidRPr="00A17F89">
              <w:rPr>
                <w:rStyle w:val="ab"/>
                <w:noProof/>
              </w:rPr>
              <w:t>Требования к Исполнителю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_Toc213667626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26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DB4229" w:rsidRDefault="004565F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7627" w:history="1">
            <w:r w:rsidR="00DB4229" w:rsidRPr="00A17F89">
              <w:rPr>
                <w:rStyle w:val="ab"/>
                <w:noProof/>
              </w:rPr>
              <w:t>15.  Приложения</w:t>
            </w:r>
            <w:r w:rsidR="00DB4229">
              <w:rPr>
                <w:noProof/>
                <w:webHidden/>
              </w:rPr>
              <w:tab/>
            </w:r>
            <w:r w:rsidR="00DB4229">
              <w:rPr>
                <w:noProof/>
                <w:webHidden/>
              </w:rPr>
              <w:fldChar w:fldCharType="begin"/>
            </w:r>
            <w:r w:rsidR="00DB4229">
              <w:rPr>
                <w:noProof/>
                <w:webHidden/>
              </w:rPr>
              <w:instrText xml:space="preserve"> PAGEREF _Toc213667627 \h </w:instrText>
            </w:r>
            <w:r w:rsidR="00DB4229">
              <w:rPr>
                <w:noProof/>
                <w:webHidden/>
              </w:rPr>
            </w:r>
            <w:r w:rsidR="00DB4229">
              <w:rPr>
                <w:noProof/>
                <w:webHidden/>
              </w:rPr>
              <w:fldChar w:fldCharType="separate"/>
            </w:r>
            <w:r w:rsidR="00DB4229">
              <w:rPr>
                <w:noProof/>
                <w:webHidden/>
              </w:rPr>
              <w:t>27</w:t>
            </w:r>
            <w:r w:rsidR="00DB4229"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B4671D" w:rsidRPr="00EF1D91">
        <w:rPr>
          <w:rFonts w:cs="Times New Roman"/>
          <w:szCs w:val="24"/>
        </w:rPr>
        <w:t>Восточно-</w:t>
      </w:r>
      <w:r w:rsidR="00DE2415">
        <w:rPr>
          <w:rFonts w:cs="Times New Roman"/>
          <w:szCs w:val="24"/>
        </w:rPr>
        <w:t>Песчаном</w:t>
      </w:r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1 </w:t>
      </w:r>
      <w:r w:rsidR="00DE2415" w:rsidRPr="00DE2415">
        <w:rPr>
          <w:rFonts w:eastAsia="Times New Roman" w:cs="Times New Roman"/>
          <w:szCs w:val="24"/>
        </w:rPr>
        <w:t>Восточно-Песчаного</w:t>
      </w:r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0" w:name="_Toc213667593"/>
      <w:r w:rsidRPr="00EF1D91">
        <w:t>Основные проектные данные</w:t>
      </w:r>
      <w:bookmarkEnd w:id="0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E2415" w:rsidRPr="007A0512" w:rsidTr="00DE2415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E2415" w:rsidRPr="00ED3990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E2415" w:rsidRPr="008505FE" w:rsidRDefault="00DE2415" w:rsidP="00DE2415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E2415" w:rsidRPr="008505FE" w:rsidRDefault="00DE2415" w:rsidP="00DE2415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 w:val="restar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140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т.1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DE2415" w:rsidRPr="008505FE" w:rsidRDefault="00DE2415" w:rsidP="00DE2415">
            <w:pPr>
              <w:pStyle w:val="af3"/>
              <w:rPr>
                <w:sz w:val="18"/>
                <w:szCs w:val="18"/>
              </w:rPr>
            </w:pPr>
          </w:p>
          <w:p w:rsidR="00DE2415" w:rsidRPr="00084E42" w:rsidRDefault="00DE2415" w:rsidP="00DE2415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</w:t>
            </w:r>
            <w:r w:rsidRPr="008505FE">
              <w:rPr>
                <w:sz w:val="18"/>
                <w:szCs w:val="18"/>
              </w:rPr>
              <w:lastRenderedPageBreak/>
              <w:t>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8505FE" w:rsidRDefault="00DE2415" w:rsidP="00DE2415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DE2415" w:rsidRPr="008505FE" w:rsidRDefault="00DE2415" w:rsidP="00DE2415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DE2415" w:rsidRPr="007A0512" w:rsidRDefault="00DE2415" w:rsidP="00DE2415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jc w:val="center"/>
              <w:rPr>
                <w:sz w:val="18"/>
                <w:szCs w:val="18"/>
              </w:rPr>
            </w:pP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2415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E2415" w:rsidRPr="00916981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E2415" w:rsidRPr="00916981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E2415" w:rsidRPr="007A0512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E2415" w:rsidRPr="00B7368F" w:rsidRDefault="00DE2415" w:rsidP="00DE241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E2415" w:rsidRPr="007A0512" w:rsidRDefault="00DE2415" w:rsidP="00DE24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E2415" w:rsidRPr="007A0512" w:rsidRDefault="00DE2415" w:rsidP="00DE24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E2415" w:rsidRPr="007A0512" w:rsidTr="00DE2415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E2415" w:rsidRPr="007A0512" w:rsidTr="00DE2415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7A0512" w:rsidRDefault="00DE2415" w:rsidP="00DE2415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7A0512" w:rsidRDefault="00DE2415" w:rsidP="00DE24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E2415" w:rsidRPr="008B796E" w:rsidRDefault="00DE2415" w:rsidP="00DE24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1" w:name="_Toc213667594"/>
      <w:r w:rsidRPr="00EF1D91">
        <w:t>Конструкция скважины</w:t>
      </w:r>
      <w:bookmarkEnd w:id="1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DE2415" w:rsidRPr="00140354" w:rsidTr="00DE2415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E2415" w:rsidRPr="00140354" w:rsidTr="00DE2415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E2415" w:rsidRPr="00140354" w:rsidTr="00DE2415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E2415" w:rsidRPr="00140354" w:rsidTr="00DE2415">
        <w:trPr>
          <w:trHeight w:val="451"/>
          <w:jc w:val="center"/>
        </w:trPr>
        <w:tc>
          <w:tcPr>
            <w:tcW w:w="757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D967EF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DE2415" w:rsidRPr="00140354" w:rsidTr="00DE2415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DE2415" w:rsidRPr="005C7842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DE2415" w:rsidRPr="00140354" w:rsidTr="00DE2415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E2415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DE2415" w:rsidRPr="00140354" w:rsidTr="00DE2415">
        <w:trPr>
          <w:trHeight w:val="410"/>
          <w:jc w:val="center"/>
        </w:trPr>
        <w:tc>
          <w:tcPr>
            <w:tcW w:w="757" w:type="pct"/>
            <w:vAlign w:val="center"/>
          </w:tcPr>
          <w:p w:rsidR="00DE2415" w:rsidRPr="00AD7CEB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DE2415" w:rsidRPr="008B796E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DE2415" w:rsidRPr="008B796E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DE2415" w:rsidRPr="00D967EF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DE2415" w:rsidRPr="00140354" w:rsidRDefault="00DE2415" w:rsidP="00DE24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DE2415" w:rsidRPr="00140354" w:rsidTr="00DE2415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E2415" w:rsidRDefault="00DE2415" w:rsidP="00DE2415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DE2415" w:rsidRPr="00140354" w:rsidRDefault="00DE2415" w:rsidP="00DE2415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E2415" w:rsidRPr="00E440A3" w:rsidRDefault="00DE2415" w:rsidP="00DE2415">
      <w:r w:rsidRPr="00E440A3">
        <w:t>Профиль скважины: вертикальный</w:t>
      </w:r>
      <w:r>
        <w:t>;</w:t>
      </w:r>
    </w:p>
    <w:p w:rsidR="00DE2415" w:rsidRDefault="00DE2415" w:rsidP="00DE2415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26</w:t>
      </w:r>
      <w:r w:rsidRPr="00E440A3">
        <w:t>00 м (по вертикали)</w:t>
      </w:r>
      <w:r>
        <w:t>;</w:t>
      </w:r>
    </w:p>
    <w:p w:rsidR="00DE2415" w:rsidRDefault="00DE2415" w:rsidP="00DE2415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2" w:name="_Toc152083831"/>
      <w:bookmarkStart w:id="3" w:name="_Toc213667595"/>
      <w:r>
        <w:t>Геологическая информация</w:t>
      </w:r>
      <w:bookmarkEnd w:id="2"/>
      <w:bookmarkEnd w:id="3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E2415" w:rsidRPr="00140354" w:rsidTr="009F410C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E2415" w:rsidRPr="00140354" w:rsidRDefault="00DE2415" w:rsidP="00DE24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E2415" w:rsidRPr="00140354" w:rsidTr="009F410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lastRenderedPageBreak/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DE2415" w:rsidRPr="00140354" w:rsidTr="009F410C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15" w:rsidRPr="00B7368F" w:rsidRDefault="00DE2415" w:rsidP="00DE2415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DE2415" w:rsidRPr="00C83C0F" w:rsidTr="00DE2415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E2415" w:rsidRPr="00C83C0F" w:rsidTr="00DE2415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E2415" w:rsidRPr="00C83C0F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E2415" w:rsidRPr="00C83C0F" w:rsidTr="00DE2415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DE2415" w:rsidRPr="00C20B7A" w:rsidTr="00DE2415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2415" w:rsidRPr="007A21A2" w:rsidRDefault="00DE2415" w:rsidP="00DE24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415" w:rsidRPr="00E20836" w:rsidRDefault="00DE2415" w:rsidP="00DE2415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4" w:name="_Toc152083832"/>
      <w:bookmarkStart w:id="5" w:name="_Toc213667596"/>
      <w:r>
        <w:t>Буровые растворы</w:t>
      </w:r>
      <w:bookmarkEnd w:id="4"/>
      <w:bookmarkEnd w:id="5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9"/>
        <w:gridCol w:w="854"/>
        <w:gridCol w:w="988"/>
        <w:gridCol w:w="1033"/>
        <w:gridCol w:w="662"/>
        <w:gridCol w:w="1413"/>
        <w:gridCol w:w="852"/>
        <w:gridCol w:w="1281"/>
        <w:gridCol w:w="710"/>
      </w:tblGrid>
      <w:tr w:rsidR="00DE2415" w:rsidRPr="004C1D24" w:rsidTr="009F410C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1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8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E2415" w:rsidRPr="004C1D24" w:rsidTr="009F410C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E2415" w:rsidRPr="004C1D24" w:rsidRDefault="00DE2415" w:rsidP="00DE24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E2415" w:rsidRPr="004C1D24" w:rsidTr="009F410C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350D63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DE2415" w:rsidRPr="004C1D24" w:rsidTr="009F410C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proofErr w:type="spellStart"/>
            <w:r w:rsidRPr="00655E1C">
              <w:rPr>
                <w:rFonts w:ascii="Times New Roman" w:hAnsi="Times New Roman"/>
                <w:sz w:val="16"/>
                <w:szCs w:val="14"/>
              </w:rPr>
              <w:t>KCl</w:t>
            </w:r>
            <w:proofErr w:type="spellEnd"/>
            <w:r w:rsidRPr="00655E1C">
              <w:rPr>
                <w:rFonts w:ascii="Times New Roman" w:hAnsi="Times New Roman"/>
                <w:sz w:val="16"/>
                <w:szCs w:val="14"/>
              </w:rPr>
              <w:t>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E2415" w:rsidRPr="00877551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E2415" w:rsidRPr="00643169" w:rsidRDefault="00DE2415" w:rsidP="00DE2415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DE2415" w:rsidRPr="004C1D24" w:rsidTr="009F410C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proofErr w:type="spellStart"/>
            <w:r w:rsidRPr="00655E1C">
              <w:rPr>
                <w:rFonts w:ascii="Times New Roman" w:hAnsi="Times New Roman"/>
                <w:sz w:val="16"/>
                <w:szCs w:val="14"/>
              </w:rPr>
              <w:t>KCl</w:t>
            </w:r>
            <w:proofErr w:type="spellEnd"/>
            <w:r w:rsidRPr="00655E1C">
              <w:rPr>
                <w:rFonts w:ascii="Times New Roman" w:hAnsi="Times New Roman"/>
                <w:sz w:val="16"/>
                <w:szCs w:val="14"/>
              </w:rPr>
              <w:t>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E2415" w:rsidRPr="00655E1C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E2415" w:rsidRPr="00E57514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E2415" w:rsidRPr="00E57514" w:rsidRDefault="00DE2415" w:rsidP="00DE2415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E2415" w:rsidRPr="00643169" w:rsidRDefault="00DE2415" w:rsidP="00DE24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6" w:name="_Toc213667597"/>
      <w:r w:rsidRPr="00EF1D91">
        <w:rPr>
          <w:rFonts w:cs="Times New Roman"/>
        </w:rPr>
        <w:t xml:space="preserve">5. </w:t>
      </w:r>
      <w:bookmarkStart w:id="7" w:name="_Toc182828936"/>
      <w:bookmarkStart w:id="8" w:name="_Toc182828937"/>
      <w:bookmarkEnd w:id="7"/>
      <w:bookmarkEnd w:id="8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6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</w:t>
      </w:r>
      <w:r w:rsidR="00D61021" w:rsidRPr="00EF1D91">
        <w:rPr>
          <w:bCs/>
          <w:sz w:val="24"/>
          <w:szCs w:val="24"/>
        </w:rPr>
        <w:lastRenderedPageBreak/>
        <w:t>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</w:t>
      </w:r>
      <w:proofErr w:type="spellStart"/>
      <w:r w:rsidRPr="00DE2415">
        <w:rPr>
          <w:bCs/>
          <w:sz w:val="24"/>
          <w:szCs w:val="24"/>
        </w:rPr>
        <w:t>заканчивания</w:t>
      </w:r>
      <w:proofErr w:type="spellEnd"/>
      <w:r w:rsidRPr="00DE2415">
        <w:rPr>
          <w:bCs/>
          <w:sz w:val="24"/>
          <w:szCs w:val="24"/>
        </w:rPr>
        <w:t xml:space="preserve">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="006C5408" w:rsidRPr="00EF1D91">
        <w:rPr>
          <w:sz w:val="24"/>
          <w:szCs w:val="24"/>
        </w:rPr>
        <w:t>разбуривания</w:t>
      </w:r>
      <w:proofErr w:type="spellEnd"/>
      <w:r w:rsidR="006C5408" w:rsidRPr="00EF1D91">
        <w:rPr>
          <w:sz w:val="24"/>
          <w:szCs w:val="24"/>
        </w:rPr>
        <w:t xml:space="preserve">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9" w:name="_Toc29121988"/>
      <w:bookmarkStart w:id="10" w:name="_Toc213667598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9"/>
      <w:bookmarkEnd w:id="10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 xml:space="preserve">словиям завода–изготовителя, </w:t>
      </w:r>
      <w:r w:rsidRPr="00EF1D91">
        <w:rPr>
          <w:bCs/>
          <w:sz w:val="24"/>
          <w:szCs w:val="24"/>
        </w:rPr>
        <w:lastRenderedPageBreak/>
        <w:t>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 xml:space="preserve">Расчёт и подготовка «Карты спуска» компоновки </w:t>
      </w:r>
      <w:proofErr w:type="spellStart"/>
      <w:r w:rsidRPr="00EF1D91">
        <w:rPr>
          <w:bCs/>
          <w:sz w:val="24"/>
          <w:szCs w:val="24"/>
        </w:rPr>
        <w:t>заканчивания</w:t>
      </w:r>
      <w:proofErr w:type="spellEnd"/>
      <w:r w:rsidRPr="00EF1D91">
        <w:rPr>
          <w:bCs/>
          <w:sz w:val="24"/>
          <w:szCs w:val="24"/>
        </w:rPr>
        <w:t xml:space="preserve">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степени центрирования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>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гидравлических потерь при СПО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 xml:space="preserve">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1" w:name="_Toc213667599"/>
      <w:r>
        <w:t>5.2</w:t>
      </w:r>
      <w:r w:rsidR="001B3C01" w:rsidRPr="00EF1D91">
        <w:t xml:space="preserve"> </w:t>
      </w:r>
      <w:r w:rsidR="006C5408">
        <w:t>Оборудование</w:t>
      </w:r>
      <w:bookmarkEnd w:id="11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BD3891" w:rsidRPr="00EF1D91">
              <w:rPr>
                <w:rFonts w:cs="Times New Roman"/>
                <w:szCs w:val="24"/>
              </w:rPr>
              <w:t>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48.5pt" o:ole="">
            <v:imagedata r:id="rId8" o:title=""/>
          </v:shape>
          <o:OLEObject Type="Embed" ProgID="Visio.Drawing.11" ShapeID="_x0000_i1025" DrawAspect="Content" ObjectID="_1824281746" r:id="rId9"/>
        </w:object>
      </w:r>
    </w:p>
    <w:p w:rsidR="006A3A58" w:rsidRDefault="006A3A58" w:rsidP="00AB1CAB">
      <w:pPr>
        <w:jc w:val="center"/>
        <w:rPr>
          <w:szCs w:val="24"/>
        </w:rPr>
      </w:pPr>
      <w:r w:rsidRPr="00EF1D91">
        <w:rPr>
          <w:szCs w:val="24"/>
        </w:rPr>
        <w:lastRenderedPageBreak/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DB4229" w:rsidRPr="00AB1CAB" w:rsidRDefault="00DB4229" w:rsidP="00AB1CAB">
      <w:pPr>
        <w:jc w:val="center"/>
        <w:rPr>
          <w:szCs w:val="24"/>
        </w:rPr>
      </w:pPr>
    </w:p>
    <w:p w:rsidR="008038EF" w:rsidRDefault="008038EF" w:rsidP="00AB1CAB">
      <w:pPr>
        <w:pStyle w:val="af3"/>
        <w:ind w:firstLine="567"/>
        <w:rPr>
          <w:rFonts w:eastAsia="Times New Roman"/>
          <w:bCs/>
        </w:rPr>
      </w:pPr>
      <w:r w:rsidRPr="008038EF">
        <w:rPr>
          <w:rFonts w:eastAsia="Times New Roman"/>
          <w:bCs/>
        </w:rPr>
        <w:t xml:space="preserve">Необходимо при креплении и </w:t>
      </w:r>
      <w:proofErr w:type="spellStart"/>
      <w:r w:rsidRPr="008038EF">
        <w:rPr>
          <w:rFonts w:eastAsia="Times New Roman"/>
          <w:bCs/>
        </w:rPr>
        <w:t>заканчивании</w:t>
      </w:r>
      <w:proofErr w:type="spellEnd"/>
      <w:r w:rsidRPr="008038EF">
        <w:rPr>
          <w:rFonts w:eastAsia="Times New Roman"/>
          <w:bCs/>
        </w:rPr>
        <w:t xml:space="preserve"> скважин обеспечить применение оборудования, прошедшего валидацию в периметре Компании. Оборудование, </w:t>
      </w:r>
      <w:proofErr w:type="spellStart"/>
      <w:r w:rsidRPr="008038EF">
        <w:rPr>
          <w:rFonts w:eastAsia="Times New Roman"/>
          <w:bCs/>
        </w:rPr>
        <w:t>невалидированное</w:t>
      </w:r>
      <w:proofErr w:type="spellEnd"/>
      <w:r w:rsidRPr="008038EF">
        <w:rPr>
          <w:rFonts w:eastAsia="Times New Roman"/>
          <w:bCs/>
        </w:rPr>
        <w:t xml:space="preserve"> в периметре Компании, для согласования применения должно пройти стендовые испытания в присутствии представителя ООО «РН-Ванкор» или ООО «РН-</w:t>
      </w:r>
      <w:proofErr w:type="spellStart"/>
      <w:r w:rsidRPr="008038EF">
        <w:rPr>
          <w:rFonts w:eastAsia="Times New Roman"/>
          <w:bCs/>
        </w:rPr>
        <w:t>ЦЭПиТР</w:t>
      </w:r>
      <w:proofErr w:type="spellEnd"/>
      <w:r w:rsidRPr="008038EF">
        <w:rPr>
          <w:rFonts w:eastAsia="Times New Roman"/>
          <w:bCs/>
        </w:rPr>
        <w:t xml:space="preserve">», по заранее согласованной программе испытаний. Для проверки наличия валидации необходимо направить специалистам </w:t>
      </w:r>
      <w:proofErr w:type="spellStart"/>
      <w:r w:rsidRPr="008038EF">
        <w:rPr>
          <w:rFonts w:eastAsia="Times New Roman"/>
          <w:bCs/>
        </w:rPr>
        <w:t>УТиИБ</w:t>
      </w:r>
      <w:proofErr w:type="spellEnd"/>
      <w:r w:rsidRPr="008038EF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Pr="008038EF">
        <w:rPr>
          <w:rFonts w:eastAsia="Times New Roman"/>
          <w:bCs/>
        </w:rPr>
        <w:t>валидированного</w:t>
      </w:r>
      <w:proofErr w:type="spellEnd"/>
      <w:r w:rsidRPr="008038EF">
        <w:rPr>
          <w:rFonts w:eastAsia="Times New Roman"/>
          <w:bCs/>
        </w:rPr>
        <w:t xml:space="preserve"> оборудования.</w:t>
      </w:r>
    </w:p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F1D91">
        <w:rPr>
          <w:iCs/>
        </w:rPr>
        <w:t>разбуривания</w:t>
      </w:r>
      <w:proofErr w:type="spellEnd"/>
      <w:r w:rsidRPr="00EF1D91">
        <w:rPr>
          <w:iCs/>
        </w:rPr>
        <w:t xml:space="preserve">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2" w:name="_Toc213667600"/>
      <w:r w:rsidRPr="001170A4">
        <w:t>6. Требование к оборудованию</w:t>
      </w:r>
      <w:bookmarkEnd w:id="12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3" w:name="_Toc213667601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3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4" w:name="_Toc29121995"/>
      <w:bookmarkStart w:id="15" w:name="_Toc213667602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4"/>
      <w:bookmarkEnd w:id="15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  <w:lang w:val="en-US"/>
              </w:rPr>
            </w:pPr>
            <w:r>
              <w:t>35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AB1CAB" w:rsidRPr="008C1F93" w:rsidRDefault="00AB1CAB" w:rsidP="001F0818">
            <w:pPr>
              <w:jc w:val="center"/>
              <w:rPr>
                <w:szCs w:val="24"/>
              </w:rPr>
            </w:pPr>
            <w:r w:rsidRPr="00DD1021">
              <w:t xml:space="preserve">114 х </w:t>
            </w:r>
            <w:r>
              <w:t>7,4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AB1CAB" w:rsidRDefault="00AB1CAB" w:rsidP="001F0818">
            <w:pPr>
              <w:jc w:val="center"/>
            </w:pPr>
            <w:r>
              <w:t>87,5 без учета КЗП,</w:t>
            </w:r>
          </w:p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70 с учетом КЗП 1,25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AB1CAB" w:rsidRDefault="00AB1CAB" w:rsidP="001F0818">
            <w:pPr>
              <w:jc w:val="center"/>
            </w:pPr>
            <w:r>
              <w:t>62,5 без учета КЗП,</w:t>
            </w:r>
          </w:p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50 с учетом КЗП 1,25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DD1021">
              <w:rPr>
                <w:szCs w:val="24"/>
              </w:rPr>
              <w:t xml:space="preserve">/ бурильной трубы / НКТ, </w:t>
            </w:r>
            <w:proofErr w:type="gramStart"/>
            <w:r w:rsidRPr="00DD1021">
              <w:rPr>
                <w:szCs w:val="24"/>
              </w:rPr>
              <w:t>согласно назначения</w:t>
            </w:r>
            <w:proofErr w:type="gramEnd"/>
            <w:r w:rsidRPr="00DD1021">
              <w:rPr>
                <w:szCs w:val="24"/>
              </w:rPr>
              <w:t xml:space="preserve"> изделия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0-95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Якорный узел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 xml:space="preserve">-подвески хвостовика. 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Разъединение от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>-подвески с сохранением герметичности и ее проверка.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lastRenderedPageBreak/>
              <w:t>Активационная муфта (восстановление циркуляции)</w:t>
            </w:r>
          </w:p>
          <w:p w:rsidR="00AB1CAB" w:rsidRPr="00DD1021" w:rsidRDefault="00AB1CAB" w:rsidP="00AB1CAB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3"/>
              </w:numPr>
              <w:jc w:val="left"/>
              <w:rPr>
                <w:szCs w:val="24"/>
              </w:rPr>
            </w:pPr>
            <w:proofErr w:type="spellStart"/>
            <w:r w:rsidRPr="00DD1021">
              <w:rPr>
                <w:szCs w:val="24"/>
              </w:rPr>
              <w:t>Пакеровка</w:t>
            </w:r>
            <w:proofErr w:type="spellEnd"/>
            <w:r w:rsidRPr="00DD1021">
              <w:rPr>
                <w:szCs w:val="24"/>
              </w:rPr>
              <w:t xml:space="preserve"> подвески хвостовика.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DD1021">
              <w:t>HCl</w:t>
            </w:r>
            <w:proofErr w:type="spellEnd"/>
            <w:r w:rsidRPr="00DD1021">
              <w:t xml:space="preserve">) в течение 3-х часов, а также жидкостей </w:t>
            </w:r>
            <w:proofErr w:type="spellStart"/>
            <w:r w:rsidRPr="00DD1021">
              <w:t>заканчивания</w:t>
            </w:r>
            <w:proofErr w:type="spellEnd"/>
            <w:r w:rsidRPr="00DD1021"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До 100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>.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DD1021">
              <w:t>замены</w:t>
            </w:r>
            <w:proofErr w:type="gramEnd"/>
            <w:r w:rsidRPr="00DD1021"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>Да*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 время</w:t>
            </w:r>
            <w:proofErr w:type="gramEnd"/>
            <w:r w:rsidRPr="00DD1021">
              <w:t xml:space="preserve"> (по требованию) и в присутствии Заказчика) на подтверждение 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испытания на осевые нагрузки и гидравлические опрессовки посадочного инструмента +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lastRenderedPageBreak/>
              <w:t xml:space="preserve">Провести гидравлические испытания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 xml:space="preserve">-подвески + стингера (стыковка, опрессовка жидкостью + температура, без осевых нагрузок); 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AB1CAB" w:rsidRPr="00DD1021" w:rsidRDefault="00AB1CAB" w:rsidP="00AB1CAB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Испытать рессорные </w:t>
            </w:r>
            <w:proofErr w:type="spellStart"/>
            <w:r w:rsidRPr="00DD1021">
              <w:rPr>
                <w:szCs w:val="24"/>
              </w:rPr>
              <w:t>центраторы</w:t>
            </w:r>
            <w:proofErr w:type="spellEnd"/>
            <w:r w:rsidRPr="00DD1021">
              <w:rPr>
                <w:szCs w:val="24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lastRenderedPageBreak/>
              <w:t>Да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6" w:name="_Toc29121996"/>
      <w:bookmarkStart w:id="17" w:name="_Toc213667603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6"/>
      <w:bookmarkEnd w:id="17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AB1CAB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AB1CAB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 xml:space="preserve"> (</w:t>
            </w:r>
            <w:r w:rsidRPr="00AB1CAB">
              <w:rPr>
                <w:b/>
                <w:bCs/>
                <w:szCs w:val="24"/>
              </w:rPr>
              <w:t>описание</w:t>
            </w:r>
            <w:r w:rsidRPr="00AB1CAB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AB1CAB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якорения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proofErr w:type="gramStart"/>
            <w:r w:rsidRPr="00DD1021">
              <w:rPr>
                <w:szCs w:val="24"/>
              </w:rPr>
              <w:t>более  ±</w:t>
            </w:r>
            <w:proofErr w:type="gramEnd"/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активации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Номинальное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скважине, при котором достигается целевой перепад давления на </w:t>
            </w:r>
            <w:proofErr w:type="spellStart"/>
            <w:r w:rsidRPr="00DD1021">
              <w:t>пакере</w:t>
            </w:r>
            <w:proofErr w:type="spellEnd"/>
            <w:r w:rsidRPr="00DD1021">
              <w:t xml:space="preserve"> не менее,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10,0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Максимальное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lastRenderedPageBreak/>
              <w:t>пакера</w:t>
            </w:r>
            <w:proofErr w:type="spellEnd"/>
            <w:r w:rsidRPr="00DD1021">
              <w:t xml:space="preserve"> в вертикальной скважине, без повреждения элементов подвески, в т.ч. без повреждения уплотнительных элементов подвески, не более,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lastRenderedPageBreak/>
              <w:t>30,0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Удерживающее усилие якоря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>
              <w:t>60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3,5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proofErr w:type="gramStart"/>
            <w:r w:rsidRPr="00DD1021">
              <w:rPr>
                <w:szCs w:val="24"/>
              </w:rPr>
              <w:t>Наличие механизма</w:t>
            </w:r>
            <w:proofErr w:type="gramEnd"/>
            <w:r w:rsidRPr="00DD1021">
              <w:rPr>
                <w:szCs w:val="24"/>
              </w:rPr>
              <w:t xml:space="preserve"> исключающего возможность активации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proofErr w:type="gramStart"/>
            <w:r w:rsidRPr="00DD1021">
              <w:t>раствора,  для</w:t>
            </w:r>
            <w:proofErr w:type="gramEnd"/>
            <w:r w:rsidRPr="00DD1021">
              <w:t xml:space="preserve"> подвесного устройства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хвостовика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AB1CAB" w:rsidRPr="00DD1021" w:rsidDel="00663FC8" w:rsidRDefault="00AB1CAB" w:rsidP="001F0818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устранения негерметичности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 xml:space="preserve">Верхний ремонтный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30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промывках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proofErr w:type="gramStart"/>
            <w:r w:rsidRPr="00DD1021">
              <w:rPr>
                <w:szCs w:val="24"/>
              </w:rPr>
              <w:t>состав  подвески</w:t>
            </w:r>
            <w:proofErr w:type="gramEnd"/>
            <w:r w:rsidRPr="00DD1021">
              <w:rPr>
                <w:szCs w:val="24"/>
              </w:rPr>
              <w:t xml:space="preserve"> хвостовика  каждого комплекса  оборудования для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proofErr w:type="gramStart"/>
            <w:r w:rsidRPr="00DD1021">
              <w:rPr>
                <w:szCs w:val="24"/>
              </w:rPr>
              <w:t>инструмента  и</w:t>
            </w:r>
            <w:proofErr w:type="gramEnd"/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DD1021">
              <w:rPr>
                <w:szCs w:val="24"/>
              </w:rPr>
              <w:t>центраторам</w:t>
            </w:r>
            <w:proofErr w:type="spellEnd"/>
            <w:r w:rsidRPr="00DD1021">
              <w:rPr>
                <w:szCs w:val="24"/>
              </w:rPr>
              <w:t>),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AB1CAB" w:rsidRPr="00DD1021" w:rsidTr="00AB1CAB">
        <w:trPr>
          <w:trHeight w:val="190"/>
        </w:trPr>
        <w:tc>
          <w:tcPr>
            <w:tcW w:w="9923" w:type="dxa"/>
            <w:gridSpan w:val="3"/>
            <w:vAlign w:val="center"/>
          </w:tcPr>
          <w:p w:rsidR="00AB1CAB" w:rsidRPr="00DD1021" w:rsidDel="00A759E3" w:rsidRDefault="00AB1CAB" w:rsidP="009F410C">
            <w:pPr>
              <w:jc w:val="center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lastRenderedPageBreak/>
              <w:t>Полированная воронка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8" w:name="_Toc213667604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8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265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установки в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перемещением.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234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извлечения стингера из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Скошенная для захода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«Плавающий стингер» - основной,</w:t>
            </w:r>
          </w:p>
          <w:p w:rsidR="00AB1CAB" w:rsidRPr="00DD1021" w:rsidRDefault="00AB1CAB" w:rsidP="00C82E19">
            <w:pPr>
              <w:jc w:val="center"/>
            </w:pPr>
            <w:r w:rsidRPr="00DD1021">
              <w:t xml:space="preserve">Резервный – применение </w:t>
            </w:r>
            <w:proofErr w:type="spellStart"/>
            <w:r w:rsidRPr="00DD1021">
              <w:t>гидроякоря</w:t>
            </w:r>
            <w:proofErr w:type="spellEnd"/>
            <w:r w:rsidRPr="00DD1021">
              <w:t xml:space="preserve">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«Плавающего» типа – 3000</w:t>
            </w:r>
          </w:p>
          <w:p w:rsidR="00AB1CAB" w:rsidRPr="00DD1021" w:rsidRDefault="00AB1CAB" w:rsidP="00C82E19">
            <w:pPr>
              <w:jc w:val="center"/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2800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Способ выравнивания давления «НКТ – </w:t>
            </w:r>
            <w:proofErr w:type="spellStart"/>
            <w:r w:rsidRPr="00DD1021">
              <w:t>затруб</w:t>
            </w:r>
            <w:proofErr w:type="spellEnd"/>
            <w:r w:rsidRPr="00DD1021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Установка выравнивающего клапана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</w:p>
          <w:p w:rsidR="00AB1CAB" w:rsidRPr="00DD1021" w:rsidRDefault="00AB1CAB" w:rsidP="00C82E19">
            <w:pPr>
              <w:jc w:val="center"/>
            </w:pPr>
            <w:r>
              <w:t>35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95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Герметичная стыковка стингера с полированной воронкой/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</w:pPr>
            <w:r w:rsidRPr="00DD1021">
              <w:t xml:space="preserve">После каждого цикла СПО 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213667605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19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C82E19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right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Служит для якорения </w:t>
            </w:r>
            <w:r w:rsidR="00087198" w:rsidRPr="00DD1021">
              <w:t>стингера, исключая</w:t>
            </w:r>
            <w:r w:rsidRPr="00DD1021">
              <w:t xml:space="preserve"> </w:t>
            </w:r>
            <w:r w:rsidR="00087198" w:rsidRPr="00DD1021">
              <w:t>осевое перемещение</w:t>
            </w:r>
            <w:r w:rsidRPr="00DD1021">
              <w:t xml:space="preserve"> при ГВЗ и ГРП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Созданием избыточного давления во внутритрубное пространство </w:t>
            </w:r>
            <w:r w:rsidR="00087198" w:rsidRPr="00DD1021">
              <w:t>вовремя</w:t>
            </w:r>
            <w:r w:rsidRPr="00DD1021">
              <w:t xml:space="preserve"> ГРП</w:t>
            </w:r>
          </w:p>
        </w:tc>
      </w:tr>
      <w:tr w:rsidR="00AB1CAB" w:rsidRPr="00DD1021" w:rsidTr="00AB1CAB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333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 xml:space="preserve">Наличие защиты от попадания </w:t>
            </w:r>
            <w:proofErr w:type="spellStart"/>
            <w:r w:rsidRPr="00DD1021">
              <w:t>проппанта</w:t>
            </w:r>
            <w:proofErr w:type="spellEnd"/>
            <w:r w:rsidRPr="00DD1021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30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>
              <w:t>35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150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AB1CAB" w:rsidRPr="00DD1021" w:rsidTr="00AB1CAB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1F0818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366760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0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AB1CAB" w:rsidRPr="00DD1021" w:rsidTr="008C7A32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8C7A32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1F0818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давления, выдерживаемый узлом стыковки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>
              <w:t>35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промывке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366760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1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узлов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2" w:name="_Toc21366760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2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  <w:lang w:val="en-GB"/>
              </w:rPr>
            </w:pPr>
            <w:proofErr w:type="spellStart"/>
            <w:r w:rsidRPr="00DD1021">
              <w:rPr>
                <w:szCs w:val="24"/>
                <w:lang w:val="en-GB"/>
              </w:rPr>
              <w:t>Материал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изготовления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внутренних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4565F4" w:rsidP="00C5382B">
      <w:pPr>
        <w:ind w:firstLine="567"/>
      </w:pPr>
      <w:r>
        <w:t>*</w:t>
      </w:r>
      <w:r w:rsidR="00C5382B" w:rsidRPr="00EF1D91">
        <w:t xml:space="preserve">Резервный шар для активации муфты должен находится в наличии у инженера по </w:t>
      </w:r>
      <w:proofErr w:type="spellStart"/>
      <w:r w:rsidR="00C5382B" w:rsidRPr="00EF1D91">
        <w:t>заканчиванию</w:t>
      </w:r>
      <w:proofErr w:type="spellEnd"/>
      <w:r w:rsidR="00C5382B" w:rsidRPr="00EF1D91">
        <w:t xml:space="preserve"> до начала проведения работ по монтажу оборудования </w:t>
      </w:r>
      <w:proofErr w:type="spellStart"/>
      <w:r w:rsidR="00C5382B" w:rsidRPr="00EF1D91">
        <w:t>заканчивания</w:t>
      </w:r>
      <w:proofErr w:type="spellEnd"/>
      <w:r w:rsidR="00C5382B" w:rsidRPr="00EF1D91">
        <w:t>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3" w:name="_Toc213667609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3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A32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1F0818">
            <w:pPr>
              <w:rPr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254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C5382B" w:rsidRDefault="00C5382B" w:rsidP="00EF1D91">
      <w:pPr>
        <w:ind w:firstLine="567"/>
      </w:pPr>
    </w:p>
    <w:p w:rsidR="008C7A32" w:rsidRPr="00EF1D91" w:rsidRDefault="008C7A32" w:rsidP="00EF1D91">
      <w:pPr>
        <w:ind w:firstLine="567"/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4" w:name="_Toc213667610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4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8C7A32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693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 xml:space="preserve">Для разделения </w:t>
            </w:r>
            <w:proofErr w:type="spellStart"/>
            <w:r w:rsidRPr="00DD1021">
              <w:rPr>
                <w:szCs w:val="24"/>
              </w:rPr>
              <w:t>продавочной</w:t>
            </w:r>
            <w:proofErr w:type="spellEnd"/>
            <w:r w:rsidRPr="00DD102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DD1021">
              <w:rPr>
                <w:szCs w:val="24"/>
              </w:rPr>
              <w:t>продавке</w:t>
            </w:r>
            <w:proofErr w:type="spellEnd"/>
            <w:r w:rsidRPr="00DD102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 xml:space="preserve">), предназначенного (-ых) для активации якоря 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1F0818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1F0818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Default="008C7A32" w:rsidP="008C7A32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366761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5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8C7A32" w:rsidRPr="008C7A32" w:rsidTr="001F0818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8C7A32" w:rsidTr="001F0818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="008C7A32" w:rsidRPr="008C7A32">
              <w:rPr>
                <w:rFonts w:cs="Times New Roman"/>
                <w:szCs w:val="24"/>
              </w:rPr>
              <w:t>ращающийся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8C7A32">
              <w:rPr>
                <w:rFonts w:cs="Times New Roman"/>
                <w:szCs w:val="24"/>
              </w:rPr>
              <w:t>проворота</w:t>
            </w:r>
            <w:proofErr w:type="spellEnd"/>
            <w:r w:rsidRPr="008C7A32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1F081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="008C7A32" w:rsidRPr="008C7A32">
              <w:rPr>
                <w:rFonts w:cs="Times New Roman"/>
                <w:szCs w:val="24"/>
              </w:rPr>
              <w:t xml:space="preserve">еталл </w:t>
            </w:r>
            <w:r w:rsidR="008C7A32" w:rsidRPr="008C7A32">
              <w:rPr>
                <w:rFonts w:cs="Times New Roman"/>
                <w:b/>
                <w:szCs w:val="24"/>
              </w:rPr>
              <w:t>(</w:t>
            </w:r>
            <w:proofErr w:type="spellStart"/>
            <w:r w:rsidR="008C7A32" w:rsidRPr="008C7A32">
              <w:rPr>
                <w:rFonts w:cs="Times New Roman"/>
                <w:b/>
                <w:szCs w:val="24"/>
              </w:rPr>
              <w:t>легкоразбуриваемый</w:t>
            </w:r>
            <w:proofErr w:type="spellEnd"/>
            <w:r w:rsidR="008C7A32" w:rsidRPr="008C7A32">
              <w:rPr>
                <w:rFonts w:cs="Times New Roman"/>
                <w:szCs w:val="24"/>
              </w:rPr>
              <w:t>)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50</w:t>
            </w:r>
          </w:p>
        </w:tc>
      </w:tr>
      <w:tr w:rsidR="008C7A32" w:rsidRPr="008C7A32" w:rsidTr="001F0818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25-60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1200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8C7A32">
              <w:rPr>
                <w:rFonts w:cs="Times New Roman"/>
                <w:szCs w:val="24"/>
              </w:rPr>
              <w:t>разбуривания</w:t>
            </w:r>
            <w:proofErr w:type="spellEnd"/>
            <w:r w:rsidRPr="008C7A32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Del="00E93197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3000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25,4</w:t>
            </w:r>
          </w:p>
        </w:tc>
      </w:tr>
      <w:tr w:rsidR="008C7A32" w:rsidRPr="008C7A32" w:rsidTr="001F0818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1F0818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366761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6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8C7A32" w:rsidRPr="00DD1021" w:rsidTr="008C7A3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8C7A32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</w:rPr>
            </w:pPr>
            <w:r w:rsidRPr="008C7A32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</w:rPr>
              <w:t>описание</w:t>
            </w:r>
            <w:r w:rsidRPr="008C7A32">
              <w:rPr>
                <w:rFonts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>)</w:t>
            </w:r>
          </w:p>
        </w:tc>
      </w:tr>
      <w:tr w:rsidR="008C7A32" w:rsidRPr="00DD1021" w:rsidTr="008C7A3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lang w:val="en-GB"/>
              </w:rPr>
            </w:pPr>
          </w:p>
        </w:tc>
      </w:tr>
      <w:tr w:rsidR="008C7A32" w:rsidRPr="00DD1021" w:rsidTr="008C7A32">
        <w:trPr>
          <w:trHeight w:val="269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Да</w:t>
            </w:r>
          </w:p>
        </w:tc>
      </w:tr>
      <w:tr w:rsidR="008C7A32" w:rsidRPr="00DD1021" w:rsidTr="008C7A32">
        <w:trPr>
          <w:trHeight w:val="254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C82E19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35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3000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rPr>
                <w:szCs w:val="24"/>
              </w:rPr>
              <w:t xml:space="preserve">Внутренний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800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1F0818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3667613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7"/>
      <w:proofErr w:type="spellEnd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754"/>
        <w:gridCol w:w="3586"/>
      </w:tblGrid>
      <w:tr w:rsidR="008C7A32" w:rsidRPr="00DD1021" w:rsidTr="008C7A32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8C7A32" w:rsidRPr="008C7A32" w:rsidRDefault="008C7A32" w:rsidP="001F0818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8C7A32" w:rsidRPr="00DD1021" w:rsidRDefault="008C7A32" w:rsidP="001F0818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Тип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Рессорный дугообразный (без прогиба на планках).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Конструкция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object w:dxaOrig="10290" w:dyaOrig="2385">
                <v:shape id="_x0000_i1026" type="#_x0000_t75" style="width:3in;height:48.75pt" o:ole="">
                  <v:imagedata r:id="rId10" o:title=""/>
                </v:shape>
                <o:OLEObject Type="Embed" ProgID="PBrush" ShapeID="_x0000_i1026" DrawAspect="Content" ObjectID="_1824281747" r:id="rId11"/>
              </w:objec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Крепление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между закрепленными кольцами должно быть не менее 50 мм и не более 100мм. </w:t>
            </w: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Сварной шов (при </w:t>
            </w:r>
            <w:proofErr w:type="gramStart"/>
            <w:r w:rsidRPr="008C7A32">
              <w:rPr>
                <w:szCs w:val="24"/>
              </w:rPr>
              <w:t>наличии)  на</w:t>
            </w:r>
            <w:proofErr w:type="gramEnd"/>
            <w:r w:rsidRPr="008C7A32">
              <w:rPr>
                <w:szCs w:val="24"/>
              </w:rPr>
              <w:t xml:space="preserve"> </w:t>
            </w:r>
            <w:proofErr w:type="spellStart"/>
            <w:r w:rsidRPr="008C7A32">
              <w:rPr>
                <w:szCs w:val="24"/>
              </w:rPr>
              <w:t>центраторе</w:t>
            </w:r>
            <w:proofErr w:type="spellEnd"/>
            <w:r w:rsidRPr="008C7A32">
              <w:rPr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Материал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Сталь с упругими (пружинными) свойствами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Твердость материала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</w:t>
            </w:r>
            <w:proofErr w:type="spellStart"/>
            <w:r w:rsidRPr="008C7A32">
              <w:rPr>
                <w:szCs w:val="24"/>
              </w:rPr>
              <w:t>Роквеллу</w:t>
            </w:r>
            <w:proofErr w:type="spellEnd"/>
            <w:r w:rsidRPr="008C7A32">
              <w:rPr>
                <w:szCs w:val="24"/>
              </w:rPr>
              <w:t>, HRC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35-42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6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Длина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менее,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300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Наружный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рессорам/ допуск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8C7A32">
              <w:rPr>
                <w:szCs w:val="24"/>
              </w:rPr>
              <w:t>/(</w:t>
            </w:r>
            <w:proofErr w:type="gramEnd"/>
            <w:r w:rsidRPr="008C7A32">
              <w:rPr>
                <w:szCs w:val="24"/>
              </w:rPr>
              <w:t>допуск + 1 мм)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Внутренний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</w:t>
            </w:r>
            <w:r w:rsidRPr="008C7A32">
              <w:rPr>
                <w:szCs w:val="24"/>
                <w:lang w:val="en-US"/>
              </w:rPr>
              <w:t>17</w:t>
            </w:r>
            <w:r w:rsidRPr="008C7A32">
              <w:rPr>
                <w:szCs w:val="24"/>
              </w:rPr>
              <w:t>-1</w:t>
            </w:r>
            <w:r w:rsidRPr="008C7A32">
              <w:rPr>
                <w:szCs w:val="24"/>
                <w:lang w:val="en-US"/>
              </w:rPr>
              <w:t>1</w:t>
            </w:r>
            <w:r w:rsidRPr="008C7A32">
              <w:rPr>
                <w:szCs w:val="24"/>
              </w:rPr>
              <w:t>9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Пусковое усилие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более, кгс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  <w:lang w:val="en-US"/>
              </w:rPr>
              <w:t>25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8C7A32">
              <w:rPr>
                <w:szCs w:val="24"/>
              </w:rPr>
              <w:t>, ,</w:t>
            </w:r>
            <w:proofErr w:type="gramEnd"/>
            <w:r w:rsidRPr="008C7A32">
              <w:rPr>
                <w:szCs w:val="24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260-520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Уменьшение внешнего диаметра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2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127 (допуск +2мм)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5,5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1F0818">
            <w:pPr>
              <w:rPr>
                <w:szCs w:val="24"/>
              </w:rPr>
            </w:pPr>
            <w:r w:rsidRPr="008C7A32">
              <w:rPr>
                <w:rFonts w:eastAsiaTheme="minorHAnsi"/>
                <w:szCs w:val="24"/>
              </w:rPr>
              <w:t xml:space="preserve">Наличие </w:t>
            </w:r>
            <w:proofErr w:type="gramStart"/>
            <w:r w:rsidRPr="008C7A32">
              <w:rPr>
                <w:rFonts w:eastAsiaTheme="minorHAnsi"/>
                <w:szCs w:val="24"/>
              </w:rPr>
              <w:t>протокола  выходных</w:t>
            </w:r>
            <w:proofErr w:type="gramEnd"/>
            <w:r w:rsidRPr="008C7A32">
              <w:rPr>
                <w:rFonts w:eastAsiaTheme="minorHAnsi"/>
                <w:szCs w:val="24"/>
              </w:rPr>
              <w:t xml:space="preserve"> испытаний </w:t>
            </w:r>
            <w:proofErr w:type="spellStart"/>
            <w:r w:rsidRPr="008C7A32">
              <w:rPr>
                <w:rFonts w:eastAsiaTheme="minorHAnsi"/>
                <w:szCs w:val="24"/>
              </w:rPr>
              <w:t>центраторов</w:t>
            </w:r>
            <w:proofErr w:type="spellEnd"/>
            <w:r w:rsidRPr="008C7A32">
              <w:rPr>
                <w:rFonts w:eastAsiaTheme="minorHAnsi"/>
                <w:szCs w:val="24"/>
              </w:rPr>
              <w:t xml:space="preserve"> и стопорных колец по ISO 10427-1,  ISO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rPr>
                <w:rFonts w:eastAsiaTheme="minorHAnsi"/>
                <w:szCs w:val="24"/>
              </w:rPr>
            </w:pPr>
            <w:r w:rsidRPr="008C7A32">
              <w:rPr>
                <w:szCs w:val="24"/>
              </w:rPr>
              <w:t xml:space="preserve">Количество </w:t>
            </w:r>
            <w:proofErr w:type="spellStart"/>
            <w:r w:rsidRPr="008C7A32">
              <w:rPr>
                <w:szCs w:val="24"/>
              </w:rPr>
              <w:t>центраторов</w:t>
            </w:r>
            <w:proofErr w:type="spellEnd"/>
            <w:r w:rsidRPr="008C7A32">
              <w:rPr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8C7A32">
              <w:rPr>
                <w:szCs w:val="24"/>
              </w:rPr>
              <w:t>центраторами</w:t>
            </w:r>
            <w:proofErr w:type="spellEnd"/>
            <w:r w:rsidRPr="008C7A32">
              <w:rPr>
                <w:szCs w:val="24"/>
              </w:rPr>
              <w:t>, не 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1F0818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 xml:space="preserve">70% </w:t>
            </w:r>
          </w:p>
        </w:tc>
      </w:tr>
    </w:tbl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3667614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28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 xml:space="preserve"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</w:t>
      </w:r>
      <w:proofErr w:type="spellStart"/>
      <w:r w:rsidRPr="00DA524C">
        <w:rPr>
          <w:szCs w:val="24"/>
        </w:rPr>
        <w:t>штропах</w:t>
      </w:r>
      <w:proofErr w:type="spellEnd"/>
      <w:r w:rsidRPr="00DA524C">
        <w:rPr>
          <w:szCs w:val="24"/>
        </w:rPr>
        <w:t xml:space="preserve"> талевой системы и при соответствующем оснащении использовать при цементировании с </w:t>
      </w:r>
      <w:proofErr w:type="spellStart"/>
      <w:r w:rsidRPr="00DA524C">
        <w:rPr>
          <w:szCs w:val="24"/>
        </w:rPr>
        <w:t>расхаживанием</w:t>
      </w:r>
      <w:proofErr w:type="spellEnd"/>
      <w:r w:rsidRPr="00DA524C">
        <w:rPr>
          <w:szCs w:val="24"/>
        </w:rPr>
        <w:t xml:space="preserve">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5"/>
        <w:gridCol w:w="2365"/>
      </w:tblGrid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58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42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200" w:type="pct"/>
            <w:vMerge w:val="restart"/>
            <w:vAlign w:val="center"/>
          </w:tcPr>
          <w:p w:rsidR="008C7A32" w:rsidRPr="008C7A32" w:rsidRDefault="008C7A32" w:rsidP="001F0818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58" w:type="pct"/>
            <w:vMerge/>
            <w:vAlign w:val="center"/>
          </w:tcPr>
          <w:p w:rsidR="008C7A32" w:rsidRPr="008C7A32" w:rsidRDefault="008C7A32" w:rsidP="001F0818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42" w:type="pct"/>
            <w:vMerge/>
            <w:vAlign w:val="center"/>
          </w:tcPr>
          <w:p w:rsidR="008C7A32" w:rsidRPr="008C7A32" w:rsidRDefault="008C7A32" w:rsidP="001F0818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200" w:type="pct"/>
            <w:vMerge/>
            <w:vAlign w:val="center"/>
          </w:tcPr>
          <w:p w:rsidR="008C7A32" w:rsidRPr="008C7A32" w:rsidRDefault="008C7A32" w:rsidP="001F0818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8C7A32">
        <w:trPr>
          <w:trHeight w:val="254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устройства для удержания и сбрасывания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индикатора ухода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Соответствие размера внутреннего загрузочного пространства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двух линий для закачки технологических жидкостей и цементного раствора (нагнетательная и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продавочная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 с отсекающими кранами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Максимальное рабочее давление, исходя из планируемого давления опрессовки хвостовика после СТОП и коэффициента запаса 1,4 (п. 342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ПБНиГП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1F0818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1F0818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29" w:name="_Toc213667615"/>
      <w:r w:rsidRPr="001170A4">
        <w:t>6.2. Требование к паспортам на оборудование</w:t>
      </w:r>
      <w:bookmarkEnd w:id="29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8C7A32" w:rsidRPr="00DD1021" w:rsidTr="001F0818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№</w:t>
            </w:r>
          </w:p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Значение (описание, величина)</w:t>
            </w:r>
          </w:p>
        </w:tc>
      </w:tr>
      <w:tr w:rsidR="008C7A32" w:rsidRPr="00DD1021" w:rsidTr="001F0818">
        <w:trPr>
          <w:trHeight w:val="1924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 xml:space="preserve">Общие требования к паспортам на оборудование </w:t>
            </w:r>
            <w:proofErr w:type="spellStart"/>
            <w:r w:rsidRPr="00DD1021">
              <w:rPr>
                <w:lang w:eastAsia="en-US"/>
              </w:rPr>
              <w:t>заканчивания</w:t>
            </w:r>
            <w:proofErr w:type="spellEnd"/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DD1021">
              <w:rPr>
                <w:color w:val="000000" w:themeColor="text1"/>
                <w:szCs w:val="24"/>
              </w:rPr>
              <w:t>заканчивания</w:t>
            </w:r>
            <w:proofErr w:type="spellEnd"/>
            <w:r w:rsidRPr="00DD1021">
              <w:rPr>
                <w:color w:val="000000" w:themeColor="text1"/>
                <w:szCs w:val="24"/>
              </w:rPr>
              <w:t>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 xml:space="preserve">содержать спецификации оборудования </w:t>
            </w:r>
            <w:proofErr w:type="spellStart"/>
            <w:r w:rsidRPr="00DD1021">
              <w:rPr>
                <w:szCs w:val="20"/>
              </w:rPr>
              <w:t>заканчивания</w:t>
            </w:r>
            <w:proofErr w:type="spellEnd"/>
            <w:r w:rsidRPr="00DD1021">
              <w:rPr>
                <w:szCs w:val="20"/>
              </w:rPr>
              <w:t xml:space="preserve"> и материалов на русском языке.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lastRenderedPageBreak/>
              <w:t>- свидетельство об упаковывании;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8C7A32" w:rsidRPr="00DD1021" w:rsidRDefault="008C7A32" w:rsidP="001F0818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внешний диаметр изделия,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внутренний диаметр изделия,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проходной диаметр,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тип верхнего резьбового соединения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тип нижнего резьбового соединения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момент свинчивания, кН*м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максимальный крутящий момент, кН*м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материал изделия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на разрыв,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на смятие,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рабочая температура, градус Цельсия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активации,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давление среза одного штифта, МПа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количество оборотов вправо для разъединения посадочного инструмента от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-подвески;</w:t>
            </w:r>
          </w:p>
          <w:p w:rsidR="008C7A32" w:rsidRPr="00DD1021" w:rsidRDefault="008C7A32" w:rsidP="001F0818">
            <w:pPr>
              <w:jc w:val="left"/>
            </w:pPr>
            <w:r w:rsidRPr="00DD1021">
              <w:t>- вес, кг/м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DD1021">
              <w:t>пакеровки</w:t>
            </w:r>
            <w:proofErr w:type="spellEnd"/>
            <w:r w:rsidRPr="00DD1021">
              <w:t>, включая максимально возможный;</w:t>
            </w:r>
          </w:p>
          <w:p w:rsidR="008C7A32" w:rsidRPr="00DD1021" w:rsidRDefault="008C7A32" w:rsidP="001F0818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графики испытаний по ГОСТ ИСО 14310-2014 для требуемого класса валидации;</w:t>
            </w:r>
          </w:p>
          <w:p w:rsidR="008C7A32" w:rsidRPr="00DD1021" w:rsidRDefault="008C7A32" w:rsidP="001F0818">
            <w:pPr>
              <w:jc w:val="left"/>
            </w:pP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proofErr w:type="gramStart"/>
            <w:r w:rsidRPr="00DD1021">
              <w:rPr>
                <w:szCs w:val="24"/>
              </w:rPr>
              <w:t>наличие схемы изделия</w:t>
            </w:r>
            <w:proofErr w:type="gramEnd"/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8C7A32" w:rsidRPr="00DD1021" w:rsidTr="001F0818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эксплуатационные ограничения;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8C7A32" w:rsidRPr="00DD1021" w:rsidRDefault="008C7A32" w:rsidP="001F0818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9F4F7D" w:rsidRDefault="009F4F7D" w:rsidP="001170A4">
      <w:pPr>
        <w:pStyle w:val="1"/>
      </w:pPr>
      <w:bookmarkStart w:id="30" w:name="_Toc213667616"/>
      <w:r w:rsidRPr="001170A4">
        <w:lastRenderedPageBreak/>
        <w:t>6.3. Требование к проведению испытаний</w:t>
      </w:r>
      <w:bookmarkEnd w:id="30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Каждый </w:t>
      </w:r>
      <w:proofErr w:type="spellStart"/>
      <w:proofErr w:type="gramStart"/>
      <w:r w:rsidRPr="00DD1021">
        <w:rPr>
          <w:szCs w:val="24"/>
        </w:rPr>
        <w:t>узел,входящий</w:t>
      </w:r>
      <w:proofErr w:type="spellEnd"/>
      <w:proofErr w:type="gramEnd"/>
      <w:r w:rsidRPr="00DD1021">
        <w:rPr>
          <w:szCs w:val="24"/>
        </w:rPr>
        <w:t xml:space="preserve">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>, должны включать следующие протоколы/акты для: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пакеров</w:t>
      </w:r>
      <w:proofErr w:type="spellEnd"/>
      <w:r w:rsidRPr="00DD1021">
        <w:rPr>
          <w:b/>
          <w:szCs w:val="24"/>
        </w:rPr>
        <w:t xml:space="preserve"> и стингера с полированной воронкой </w:t>
      </w:r>
      <w:r w:rsidRPr="00DD1021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нагрузкой);</w:t>
      </w:r>
    </w:p>
    <w:p w:rsidR="008C7A32" w:rsidRPr="00DD1021" w:rsidRDefault="008C7A32" w:rsidP="008C7A32">
      <w:pPr>
        <w:pStyle w:val="a3"/>
        <w:ind w:left="0" w:firstLine="709"/>
        <w:rPr>
          <w:b/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</w:t>
      </w:r>
      <w:proofErr w:type="spellEnd"/>
      <w:r w:rsidRPr="00DD1021">
        <w:rPr>
          <w:b/>
          <w:szCs w:val="24"/>
        </w:rPr>
        <w:t xml:space="preserve">-подвески и ремонтного </w:t>
      </w:r>
      <w:proofErr w:type="spellStart"/>
      <w:r w:rsidRPr="00DD1021">
        <w:rPr>
          <w:b/>
          <w:szCs w:val="24"/>
        </w:rPr>
        <w:t>пакера</w:t>
      </w:r>
      <w:proofErr w:type="spellEnd"/>
      <w:r w:rsidRPr="00DD1021">
        <w:rPr>
          <w:b/>
          <w:szCs w:val="24"/>
        </w:rPr>
        <w:t xml:space="preserve"> </w:t>
      </w:r>
      <w:r w:rsidRPr="00DD1021">
        <w:rPr>
          <w:szCs w:val="24"/>
        </w:rPr>
        <w:t xml:space="preserve"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V3, включая значение на осевое удерживающее усилие якорей </w:t>
      </w:r>
      <w:proofErr w:type="spellStart"/>
      <w:r w:rsidRPr="00DD1021">
        <w:rPr>
          <w:szCs w:val="24"/>
        </w:rPr>
        <w:t>пакер</w:t>
      </w:r>
      <w:proofErr w:type="spellEnd"/>
      <w:r w:rsidRPr="00DD1021">
        <w:rPr>
          <w:szCs w:val="24"/>
        </w:rPr>
        <w:t>-подвески;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C7A32" w:rsidRPr="00DD1021" w:rsidRDefault="008C7A32" w:rsidP="008C7A32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 xml:space="preserve">прокачку </w:t>
      </w:r>
      <w:proofErr w:type="spellStart"/>
      <w:r w:rsidRPr="00DD1021">
        <w:rPr>
          <w:rFonts w:eastAsiaTheme="minorHAnsi"/>
          <w:szCs w:val="24"/>
        </w:rPr>
        <w:t>продавочной</w:t>
      </w:r>
      <w:proofErr w:type="spellEnd"/>
      <w:r w:rsidRPr="00DD1021">
        <w:rPr>
          <w:rFonts w:eastAsiaTheme="minorHAnsi"/>
          <w:szCs w:val="24"/>
        </w:rPr>
        <w:t xml:space="preserve"> пробки в транспортной колонне протяженностью не менее 3500</w:t>
      </w:r>
      <w:r w:rsidR="004565F4"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C7A32" w:rsidRPr="00DD1021" w:rsidRDefault="008C7A32" w:rsidP="008C7A32">
      <w:pPr>
        <w:ind w:left="142" w:firstLine="709"/>
      </w:pPr>
      <w:r w:rsidRPr="00DD1021">
        <w:rPr>
          <w:szCs w:val="24"/>
        </w:rPr>
        <w:t>- прохождение тандема пробок через</w:t>
      </w:r>
      <w:r w:rsidRPr="00DD1021">
        <w:t xml:space="preserve"> сборку шаровых муфт ГРП и гидравлической муфты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>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нагрузки, выдерживаемой устройством представлена в таблице с характеристиками изделия;</w:t>
      </w:r>
    </w:p>
    <w:p w:rsidR="00661266" w:rsidRPr="008C7A32" w:rsidRDefault="008C7A32" w:rsidP="008C7A32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EF1D91">
      <w:pPr>
        <w:pStyle w:val="1"/>
        <w:ind w:left="0" w:firstLine="709"/>
      </w:pPr>
      <w:bookmarkStart w:id="31" w:name="_Toc213667617"/>
      <w:r>
        <w:t xml:space="preserve">7. </w:t>
      </w:r>
      <w:r w:rsidR="00511DC9">
        <w:t>Персонал</w:t>
      </w:r>
      <w:bookmarkEnd w:id="31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lastRenderedPageBreak/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2" w:name="_Toc29122006"/>
      <w:bookmarkStart w:id="33" w:name="_Toc213667618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2"/>
      <w:bookmarkEnd w:id="33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4" w:name="_Toc213667619"/>
      <w:r>
        <w:t>7.2</w:t>
      </w:r>
      <w:r w:rsidR="004B78B8">
        <w:t>.</w:t>
      </w:r>
      <w:r>
        <w:tab/>
      </w:r>
      <w:r w:rsidR="004D5214">
        <w:t>Координатор</w:t>
      </w:r>
      <w:bookmarkEnd w:id="34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EF1D91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Default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9F410C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9F410C" w:rsidRPr="00221254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5" w:name="_Toc213667620"/>
      <w:r>
        <w:lastRenderedPageBreak/>
        <w:t>Требован</w:t>
      </w:r>
      <w:bookmarkStart w:id="36" w:name="_GoBack"/>
      <w:bookmarkEnd w:id="36"/>
      <w:r>
        <w:t>ия к материалам</w:t>
      </w:r>
      <w:bookmarkEnd w:id="35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7" w:name="_Toc213667621"/>
      <w:r>
        <w:t>Проживание и перевозка (смена) персонала</w:t>
      </w:r>
      <w:bookmarkEnd w:id="37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8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8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0" w:name="_Toc54276118"/>
      <w:bookmarkStart w:id="41" w:name="_Toc213667622"/>
      <w:bookmarkEnd w:id="39"/>
      <w:r w:rsidRPr="00221254">
        <w:t>Условия привлечения Исполнителем субподрядчиков</w:t>
      </w:r>
      <w:bookmarkEnd w:id="40"/>
      <w:bookmarkEnd w:id="41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2" w:name="_Toc54276119"/>
      <w:bookmarkStart w:id="43" w:name="_Toc213667623"/>
      <w:r w:rsidRPr="00221254">
        <w:t>Страхование персонала Исполнителя</w:t>
      </w:r>
      <w:bookmarkEnd w:id="42"/>
      <w:bookmarkEnd w:id="43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4" w:name="_Toc29122010"/>
      <w:bookmarkStart w:id="45" w:name="_Toc213667624"/>
      <w:r w:rsidRPr="00EB08A3">
        <w:t>Требования к гарантии на оказанные услуги</w:t>
      </w:r>
      <w:bookmarkEnd w:id="44"/>
      <w:bookmarkEnd w:id="45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lastRenderedPageBreak/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6" w:name="_Toc29122013"/>
      <w:bookmarkStart w:id="47" w:name="_Toc213667625"/>
      <w:r w:rsidRPr="00EB08A3">
        <w:t>Формы, характер и периодичность предоставления отчетов о ходе оказания услуг</w:t>
      </w:r>
      <w:bookmarkEnd w:id="46"/>
      <w:bookmarkEnd w:id="47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8" w:name="_Toc213667626"/>
      <w:r>
        <w:t>Требования к Исполнителю</w:t>
      </w:r>
      <w:bookmarkEnd w:id="48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49" w:name="_Toc213667627"/>
      <w:r>
        <w:lastRenderedPageBreak/>
        <w:t xml:space="preserve">15. </w:t>
      </w:r>
      <w:r w:rsidR="00761155">
        <w:t xml:space="preserve"> </w:t>
      </w:r>
      <w:bookmarkStart w:id="50" w:name="_Toc152083847"/>
      <w:r>
        <w:t>Приложения</w:t>
      </w:r>
      <w:bookmarkEnd w:id="50"/>
      <w:bookmarkEnd w:id="49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1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1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415" w:rsidRDefault="00DE2415" w:rsidP="00E73977">
      <w:r>
        <w:separator/>
      </w:r>
    </w:p>
  </w:endnote>
  <w:endnote w:type="continuationSeparator" w:id="0">
    <w:p w:rsidR="00DE2415" w:rsidRDefault="00DE2415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DE2415" w:rsidRDefault="00DE241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E2415" w:rsidRPr="00761155" w:rsidRDefault="00DE241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415" w:rsidRDefault="00DE2415" w:rsidP="00E73977">
      <w:r>
        <w:separator/>
      </w:r>
    </w:p>
  </w:footnote>
  <w:footnote w:type="continuationSeparator" w:id="0">
    <w:p w:rsidR="00DE2415" w:rsidRDefault="00DE2415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87198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65F4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38EF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82E19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4229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D83FFDD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64937-04F5-496B-ABA7-69C5F72E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27</Pages>
  <Words>8601</Words>
  <Characters>49031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49</cp:revision>
  <dcterms:created xsi:type="dcterms:W3CDTF">2022-11-08T07:52:00Z</dcterms:created>
  <dcterms:modified xsi:type="dcterms:W3CDTF">2025-11-10T05:09:00Z</dcterms:modified>
</cp:coreProperties>
</file>